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5B4A2" w14:textId="49221C10" w:rsidR="00B06DD7" w:rsidRPr="00B06DD7" w:rsidRDefault="00B06DD7">
      <w:pPr>
        <w:rPr>
          <w:b/>
          <w:bCs/>
        </w:rPr>
      </w:pPr>
      <w:r w:rsidRPr="00B06DD7">
        <w:rPr>
          <w:b/>
          <w:bCs/>
        </w:rPr>
        <w:t>What is an LEPC?</w:t>
      </w:r>
    </w:p>
    <w:p w14:paraId="33FAA833" w14:textId="77777777" w:rsidR="00B06DD7" w:rsidRPr="00B06DD7" w:rsidRDefault="00B06DD7" w:rsidP="00B06DD7">
      <w:pPr>
        <w:shd w:val="clear" w:color="auto" w:fill="FFFFFF"/>
        <w:spacing w:before="100" w:beforeAutospacing="1" w:after="100" w:afterAutospacing="1" w:line="240" w:lineRule="auto"/>
        <w:outlineLvl w:val="0"/>
        <w:rPr>
          <w:rFonts w:ascii="Georgia" w:eastAsia="Times New Roman" w:hAnsi="Georgia" w:cs="Times New Roman"/>
          <w:b/>
          <w:bCs/>
          <w:color w:val="1B1B1B"/>
          <w:kern w:val="36"/>
          <w:sz w:val="48"/>
          <w:szCs w:val="48"/>
        </w:rPr>
      </w:pPr>
      <w:r w:rsidRPr="00B06DD7">
        <w:rPr>
          <w:rFonts w:ascii="Georgia" w:eastAsia="Times New Roman" w:hAnsi="Georgia" w:cs="Times New Roman"/>
          <w:b/>
          <w:bCs/>
          <w:color w:val="1B1B1B"/>
          <w:kern w:val="36"/>
          <w:sz w:val="48"/>
          <w:szCs w:val="48"/>
        </w:rPr>
        <w:t>Local Emergency Planning Committees</w:t>
      </w:r>
    </w:p>
    <w:p w14:paraId="32137715" w14:textId="77777777" w:rsidR="00B06DD7" w:rsidRPr="00B06DD7" w:rsidRDefault="00B06DD7" w:rsidP="00B06DD7">
      <w:pPr>
        <w:shd w:val="clear" w:color="auto" w:fill="FFFFFF"/>
        <w:spacing w:after="100" w:afterAutospacing="1" w:line="240" w:lineRule="auto"/>
        <w:rPr>
          <w:rFonts w:ascii="Helvetica" w:eastAsia="Times New Roman" w:hAnsi="Helvetica" w:cs="Helvetica"/>
          <w:color w:val="1B1B1B"/>
          <w:sz w:val="25"/>
          <w:szCs w:val="25"/>
        </w:rPr>
      </w:pPr>
      <w:r w:rsidRPr="00B06DD7">
        <w:rPr>
          <w:rFonts w:ascii="Helvetica" w:eastAsia="Times New Roman" w:hAnsi="Helvetica" w:cs="Helvetica"/>
          <w:color w:val="1B1B1B"/>
          <w:sz w:val="25"/>
          <w:szCs w:val="25"/>
        </w:rPr>
        <w:t>Under the Emergency Planning and Community Right-to-Know Act (EPCRA), Local Emergency Planning Committees (LEPCs) must develop an emergency response plan, review the plan at least annually, and provide information about chemicals in the community to citizens. Plans are developed by LEPCs with stakeholder participation. There is one LEPC for each of the more than 3,000 designated local emergency planning districts. The LEPC membership must include (at a minimum):</w:t>
      </w:r>
    </w:p>
    <w:p w14:paraId="2FCC3034" w14:textId="77777777" w:rsidR="00B06DD7" w:rsidRPr="00B06DD7" w:rsidRDefault="00B06DD7" w:rsidP="00B06DD7">
      <w:pPr>
        <w:numPr>
          <w:ilvl w:val="0"/>
          <w:numId w:val="1"/>
        </w:numPr>
        <w:shd w:val="clear" w:color="auto" w:fill="FFFFFF"/>
        <w:spacing w:before="100" w:beforeAutospacing="1" w:after="60" w:line="240" w:lineRule="auto"/>
        <w:rPr>
          <w:rFonts w:ascii="Helvetica" w:eastAsia="Times New Roman" w:hAnsi="Helvetica" w:cs="Helvetica"/>
          <w:color w:val="1B1B1B"/>
          <w:sz w:val="25"/>
          <w:szCs w:val="25"/>
        </w:rPr>
      </w:pPr>
      <w:r w:rsidRPr="00B06DD7">
        <w:rPr>
          <w:rFonts w:ascii="Helvetica" w:eastAsia="Times New Roman" w:hAnsi="Helvetica" w:cs="Helvetica"/>
          <w:color w:val="1B1B1B"/>
          <w:sz w:val="25"/>
          <w:szCs w:val="25"/>
        </w:rPr>
        <w:t>Elected state and local officials</w:t>
      </w:r>
    </w:p>
    <w:p w14:paraId="476210FC" w14:textId="77777777" w:rsidR="00B06DD7" w:rsidRPr="00B06DD7" w:rsidRDefault="00B06DD7" w:rsidP="00B06DD7">
      <w:pPr>
        <w:numPr>
          <w:ilvl w:val="0"/>
          <w:numId w:val="1"/>
        </w:numPr>
        <w:shd w:val="clear" w:color="auto" w:fill="FFFFFF"/>
        <w:spacing w:before="100" w:beforeAutospacing="1" w:after="60" w:line="240" w:lineRule="auto"/>
        <w:rPr>
          <w:rFonts w:ascii="Helvetica" w:eastAsia="Times New Roman" w:hAnsi="Helvetica" w:cs="Helvetica"/>
          <w:color w:val="1B1B1B"/>
          <w:sz w:val="25"/>
          <w:szCs w:val="25"/>
        </w:rPr>
      </w:pPr>
      <w:r w:rsidRPr="00B06DD7">
        <w:rPr>
          <w:rFonts w:ascii="Helvetica" w:eastAsia="Times New Roman" w:hAnsi="Helvetica" w:cs="Helvetica"/>
          <w:color w:val="1B1B1B"/>
          <w:sz w:val="25"/>
          <w:szCs w:val="25"/>
        </w:rPr>
        <w:t>Police, fire, civil defense, and public health professionals</w:t>
      </w:r>
    </w:p>
    <w:p w14:paraId="18326213" w14:textId="77777777" w:rsidR="00B06DD7" w:rsidRPr="00B06DD7" w:rsidRDefault="00B06DD7" w:rsidP="00B06DD7">
      <w:pPr>
        <w:numPr>
          <w:ilvl w:val="0"/>
          <w:numId w:val="1"/>
        </w:numPr>
        <w:shd w:val="clear" w:color="auto" w:fill="FFFFFF"/>
        <w:spacing w:before="100" w:beforeAutospacing="1" w:after="60" w:line="240" w:lineRule="auto"/>
        <w:rPr>
          <w:rFonts w:ascii="Helvetica" w:eastAsia="Times New Roman" w:hAnsi="Helvetica" w:cs="Helvetica"/>
          <w:color w:val="1B1B1B"/>
          <w:sz w:val="25"/>
          <w:szCs w:val="25"/>
        </w:rPr>
      </w:pPr>
      <w:r w:rsidRPr="00B06DD7">
        <w:rPr>
          <w:rFonts w:ascii="Helvetica" w:eastAsia="Times New Roman" w:hAnsi="Helvetica" w:cs="Helvetica"/>
          <w:color w:val="1B1B1B"/>
          <w:sz w:val="25"/>
          <w:szCs w:val="25"/>
        </w:rPr>
        <w:t>Environment, transportation, and hospital officials</w:t>
      </w:r>
    </w:p>
    <w:p w14:paraId="5FE9342A" w14:textId="77777777" w:rsidR="00B06DD7" w:rsidRPr="00B06DD7" w:rsidRDefault="00B06DD7" w:rsidP="00B06DD7">
      <w:pPr>
        <w:numPr>
          <w:ilvl w:val="0"/>
          <w:numId w:val="1"/>
        </w:numPr>
        <w:shd w:val="clear" w:color="auto" w:fill="FFFFFF"/>
        <w:spacing w:before="100" w:beforeAutospacing="1" w:after="60" w:line="240" w:lineRule="auto"/>
        <w:rPr>
          <w:rFonts w:ascii="Helvetica" w:eastAsia="Times New Roman" w:hAnsi="Helvetica" w:cs="Helvetica"/>
          <w:color w:val="1B1B1B"/>
          <w:sz w:val="25"/>
          <w:szCs w:val="25"/>
        </w:rPr>
      </w:pPr>
      <w:r w:rsidRPr="00B06DD7">
        <w:rPr>
          <w:rFonts w:ascii="Helvetica" w:eastAsia="Times New Roman" w:hAnsi="Helvetica" w:cs="Helvetica"/>
          <w:color w:val="1B1B1B"/>
          <w:sz w:val="25"/>
          <w:szCs w:val="25"/>
        </w:rPr>
        <w:t>Facility representatives</w:t>
      </w:r>
    </w:p>
    <w:p w14:paraId="1083111E" w14:textId="77777777" w:rsidR="00B06DD7" w:rsidRPr="00B06DD7" w:rsidRDefault="00B06DD7" w:rsidP="00B06DD7">
      <w:pPr>
        <w:numPr>
          <w:ilvl w:val="0"/>
          <w:numId w:val="1"/>
        </w:numPr>
        <w:shd w:val="clear" w:color="auto" w:fill="FFFFFF"/>
        <w:spacing w:before="100" w:beforeAutospacing="1" w:after="0" w:line="240" w:lineRule="auto"/>
        <w:rPr>
          <w:rFonts w:ascii="Helvetica" w:eastAsia="Times New Roman" w:hAnsi="Helvetica" w:cs="Helvetica"/>
          <w:color w:val="1B1B1B"/>
          <w:sz w:val="25"/>
          <w:szCs w:val="25"/>
        </w:rPr>
      </w:pPr>
      <w:r w:rsidRPr="00B06DD7">
        <w:rPr>
          <w:rFonts w:ascii="Helvetica" w:eastAsia="Times New Roman" w:hAnsi="Helvetica" w:cs="Helvetica"/>
          <w:color w:val="1B1B1B"/>
          <w:sz w:val="25"/>
          <w:szCs w:val="25"/>
        </w:rPr>
        <w:t>Representatives from community groups and the media</w:t>
      </w:r>
    </w:p>
    <w:p w14:paraId="3C9B6DAD" w14:textId="77777777" w:rsidR="00B06DD7" w:rsidRDefault="00B06DD7"/>
    <w:sectPr w:rsidR="00B06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146DD"/>
    <w:multiLevelType w:val="multilevel"/>
    <w:tmpl w:val="A32E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DD7"/>
    <w:rsid w:val="009E1058"/>
    <w:rsid w:val="00B06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3EB72"/>
  <w15:chartTrackingRefBased/>
  <w15:docId w15:val="{5DE84AF5-3654-48E7-A479-BEE1EA98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06D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DD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06D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635359">
      <w:bodyDiv w:val="1"/>
      <w:marLeft w:val="0"/>
      <w:marRight w:val="0"/>
      <w:marTop w:val="0"/>
      <w:marBottom w:val="0"/>
      <w:divBdr>
        <w:top w:val="none" w:sz="0" w:space="0" w:color="auto"/>
        <w:left w:val="none" w:sz="0" w:space="0" w:color="auto"/>
        <w:bottom w:val="none" w:sz="0" w:space="0" w:color="auto"/>
        <w:right w:val="none" w:sz="0" w:space="0" w:color="auto"/>
      </w:divBdr>
      <w:divsChild>
        <w:div w:id="1653026340">
          <w:marLeft w:val="0"/>
          <w:marRight w:val="0"/>
          <w:marTop w:val="0"/>
          <w:marBottom w:val="0"/>
          <w:divBdr>
            <w:top w:val="none" w:sz="0" w:space="0" w:color="auto"/>
            <w:left w:val="none" w:sz="0" w:space="0" w:color="auto"/>
            <w:bottom w:val="none" w:sz="0" w:space="0" w:color="auto"/>
            <w:right w:val="none" w:sz="0" w:space="0" w:color="auto"/>
          </w:divBdr>
          <w:divsChild>
            <w:div w:id="11754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Hocking EMA</dc:creator>
  <cp:keywords/>
  <dc:description/>
  <cp:lastModifiedBy>Hocking EMA</cp:lastModifiedBy>
  <cp:revision>1</cp:revision>
  <dcterms:created xsi:type="dcterms:W3CDTF">2022-03-31T11:49:00Z</dcterms:created>
  <dcterms:modified xsi:type="dcterms:W3CDTF">2022-03-31T11:51:00Z</dcterms:modified>
</cp:coreProperties>
</file>